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AB5A3" w14:textId="77777777" w:rsidR="00800843" w:rsidRPr="0013389D" w:rsidRDefault="00800843" w:rsidP="00800843">
      <w:pPr>
        <w:spacing w:after="0" w:line="276" w:lineRule="auto"/>
        <w:ind w:left="426" w:hanging="360"/>
        <w:jc w:val="center"/>
        <w:rPr>
          <w:rFonts w:cstheme="minorHAnsi"/>
          <w:b/>
        </w:rPr>
      </w:pPr>
      <w:r w:rsidRPr="0013389D">
        <w:rPr>
          <w:rFonts w:cstheme="minorHAnsi"/>
          <w:b/>
        </w:rPr>
        <w:t>5. TEST KLAUZULI INTERESU PUBLICZNEGO</w:t>
      </w:r>
    </w:p>
    <w:p w14:paraId="5E4F4415" w14:textId="77777777" w:rsidR="00800843" w:rsidRPr="0013389D" w:rsidRDefault="00800843" w:rsidP="0013389D">
      <w:pPr>
        <w:spacing w:after="0" w:line="276" w:lineRule="auto"/>
        <w:jc w:val="both"/>
        <w:rPr>
          <w:rStyle w:val="tlid-translation"/>
          <w:rFonts w:cstheme="minorHAnsi"/>
          <w:b/>
        </w:rPr>
      </w:pPr>
    </w:p>
    <w:p w14:paraId="2B63CFED" w14:textId="2E7F222F" w:rsidR="000670B1" w:rsidRPr="0013389D" w:rsidRDefault="000670B1" w:rsidP="000670B1">
      <w:pPr>
        <w:pStyle w:val="Akapitzlist"/>
        <w:numPr>
          <w:ilvl w:val="6"/>
          <w:numId w:val="1"/>
        </w:numPr>
        <w:spacing w:after="0" w:line="276" w:lineRule="auto"/>
        <w:jc w:val="both"/>
        <w:rPr>
          <w:rStyle w:val="tlid-translation"/>
          <w:rFonts w:cstheme="minorHAnsi"/>
          <w:b/>
        </w:rPr>
      </w:pPr>
      <w:r w:rsidRPr="0013389D">
        <w:rPr>
          <w:rStyle w:val="tlid-translation"/>
          <w:rFonts w:cstheme="minorHAnsi"/>
          <w:b/>
        </w:rPr>
        <w:t>Monitoring wizyjny</w:t>
      </w:r>
    </w:p>
    <w:p w14:paraId="2F2C7849" w14:textId="77777777" w:rsidR="000670B1" w:rsidRPr="0013389D" w:rsidRDefault="000670B1" w:rsidP="000670B1">
      <w:pPr>
        <w:pStyle w:val="Akapitzlist"/>
        <w:spacing w:after="0" w:line="276" w:lineRule="auto"/>
        <w:ind w:left="0"/>
        <w:jc w:val="both"/>
        <w:rPr>
          <w:rStyle w:val="tlid-translation"/>
          <w:rFonts w:cstheme="minorHAnsi"/>
        </w:rPr>
      </w:pPr>
      <w:bookmarkStart w:id="0" w:name="_Toc524951652"/>
    </w:p>
    <w:p w14:paraId="580F6368" w14:textId="4A132A3B"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Jaki jest cel operacji przetwarzania</w:t>
      </w:r>
    </w:p>
    <w:p w14:paraId="5C480062" w14:textId="77777777" w:rsidR="004C5D5C" w:rsidRPr="0013389D" w:rsidRDefault="004C5D5C" w:rsidP="000670B1">
      <w:pPr>
        <w:pStyle w:val="Akapitzlist"/>
        <w:spacing w:after="0" w:line="276" w:lineRule="auto"/>
        <w:ind w:left="0"/>
        <w:jc w:val="both"/>
        <w:rPr>
          <w:rStyle w:val="tlid-translation"/>
          <w:rFonts w:cstheme="minorHAnsi"/>
          <w:b/>
        </w:rPr>
      </w:pPr>
    </w:p>
    <w:p w14:paraId="61657348"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Zapewnienie bezpieczeństwa osób i mienia przebywających w placówce. </w:t>
      </w:r>
    </w:p>
    <w:p w14:paraId="0C047D95" w14:textId="77777777" w:rsidR="000670B1" w:rsidRPr="0013389D" w:rsidRDefault="000670B1" w:rsidP="000670B1">
      <w:pPr>
        <w:pStyle w:val="Akapitzlist"/>
        <w:spacing w:after="0" w:line="276" w:lineRule="auto"/>
        <w:ind w:left="0"/>
        <w:jc w:val="both"/>
        <w:rPr>
          <w:rStyle w:val="tlid-translation"/>
          <w:rFonts w:cstheme="minorHAnsi"/>
        </w:rPr>
      </w:pPr>
    </w:p>
    <w:bookmarkEnd w:id="0"/>
    <w:p w14:paraId="23526A3D" w14:textId="51439F78"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Jaka jest podstawa prawna dla operacji przetwarzania</w:t>
      </w:r>
    </w:p>
    <w:p w14:paraId="2A499FB4" w14:textId="77777777" w:rsidR="004C5D5C" w:rsidRPr="0013389D" w:rsidRDefault="004C5D5C" w:rsidP="000670B1">
      <w:pPr>
        <w:pStyle w:val="Akapitzlist"/>
        <w:spacing w:after="0" w:line="276" w:lineRule="auto"/>
        <w:ind w:left="0"/>
        <w:jc w:val="both"/>
        <w:rPr>
          <w:rStyle w:val="tlid-translation"/>
          <w:rFonts w:cstheme="minorHAnsi"/>
          <w:b/>
        </w:rPr>
      </w:pPr>
    </w:p>
    <w:p w14:paraId="2BC266FA"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Możliwość wprowadzenia monitoringu wizyjnego w przedszkolu została przewidziana w art. 108a ustawy – Prawo oświatowe. Przepis ten wszedł w życie z dniem 25 maja 2018 roku. Zgodnie z powołanym przepisem:</w:t>
      </w:r>
    </w:p>
    <w:p w14:paraId="5BF53CDE" w14:textId="77777777" w:rsidR="000670B1" w:rsidRPr="0013389D" w:rsidRDefault="000670B1" w:rsidP="000670B1">
      <w:pPr>
        <w:pStyle w:val="Akapitzlist"/>
        <w:spacing w:after="0" w:line="276" w:lineRule="auto"/>
        <w:ind w:left="0"/>
        <w:jc w:val="both"/>
        <w:rPr>
          <w:rStyle w:val="tlid-translation"/>
          <w:rFonts w:cstheme="minorHAnsi"/>
        </w:rPr>
      </w:pPr>
    </w:p>
    <w:p w14:paraId="6A2CE564"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Art. 108a Prawa oświatowego</w:t>
      </w:r>
    </w:p>
    <w:p w14:paraId="576917E0"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bookmarkStart w:id="1" w:name="_Hlk525236224"/>
      <w:r w:rsidRPr="0013389D">
        <w:rPr>
          <w:rStyle w:val="tlid-translation"/>
          <w:rFonts w:cstheme="minorHAnsi"/>
        </w:rPr>
        <w:t>Jeżeli jest to niezbędne do zapewnienia bezpieczeństwa uczniów i pracowników lub ochrony mienia dyrektor szkoły lub placówki, w uzgodnieniu z organem prowadzącym szkołę lub placówkę oraz po przeprowadzeniu konsultacji z radą pedagogiczną, radą rodziców i samorządem uczniowskim, może wprowadzić szczególny nadzór nad pomieszczeniami szkoły lub placówki lub terenem wokół szkoły lub placówki w postaci środków technicznych umożliwiających rejestrację obrazu (monitoring).</w:t>
      </w:r>
    </w:p>
    <w:p w14:paraId="75C5D173"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t>Monitoring nie powinien stanowić środka nadzoru nad jakością wykonywania pracy przez pracowników szkoły lub placówki.</w:t>
      </w:r>
    </w:p>
    <w:p w14:paraId="41012A41"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t>Monitoring nie obejmuje pomieszczeń, w których odbywają się zajęcia dydaktyczne, wychowawcze i opiekuńcze, pomieszczeń, w których uczniom jest udzielana pomoc psychologiczno-pedagogiczna, pomieszczeń przeznaczonych do odpoczynku i rekreacji pracowników, pomieszczeń sanitarnohigienicznych, gabinetu profilaktyki zdrowotnej, szatni i przebieralni, chyba że stosowanie monitoringu w tych pomieszczeniach jest niezbędne ze względu na istniejące zagrożenie dla realizacji celu określonego w ust. 1 i nie naruszy to godności oraz innych dóbr osobistych uczniów, pracowników i innych osób, w szczególności zostaną zastosowane techniki uniemożliwiające rozpoznanie przebywających w tych pomieszczeniach osób.</w:t>
      </w:r>
    </w:p>
    <w:p w14:paraId="64BED4A8"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t>Nagrania obrazu zawierające dane osobowe uczniów, pracowników i innych osób, których w wyniku tych nagrań można zidentyfikować, szkoła lub placówka przetwarza wyłącznie do celów, dla których zostały zebrane, i przechowuje przez okres nie dłuższy niż 3 miesiące od dnia nagrania.</w:t>
      </w:r>
    </w:p>
    <w:p w14:paraId="07F11118"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t>Po upływie okresu, o którym mowa w ust. 4, uzyskane w wyniku monitoringu nagrania obrazu zawierające dane osobowe uczniów, pracowników i innych osób, których w wyniku tych nagrań można zidentyfikować, podlegają zniszczeniu, o ile przepisy odrębne nie stanowią inaczej.</w:t>
      </w:r>
    </w:p>
    <w:p w14:paraId="462973F3"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t>Dyrektor szkoły lub placówki informuje uczniów i pracowników szkoły lub placówki o wprowadzeniu monitoringu, w sposób przyjęty w danej szkole lub placówce, nie później niż 14 dni przed uruchomieniem monitoringu.</w:t>
      </w:r>
    </w:p>
    <w:p w14:paraId="3F520DE4"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t>Dyrektor szkoły lub placówki przed dopuszczeniem osoby do wykonywania obowiązków służbowych informuje ją na piśmie o stosowaniu monitoringu.</w:t>
      </w:r>
    </w:p>
    <w:p w14:paraId="49EBAAC9"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lastRenderedPageBreak/>
        <w:t>W przypadku wprowadzenia monitoringu dyrektor szkoły lub placówki oznacza pomieszczenia i teren monitorowany w sposób widoczny i czytelny, za pomocą odpowiednich znaków lub ogłoszeń dźwiękowych, nie później niż dzień przed jego uruchomieniem.</w:t>
      </w:r>
    </w:p>
    <w:p w14:paraId="7103BB61" w14:textId="77777777" w:rsidR="000670B1" w:rsidRPr="0013389D" w:rsidRDefault="000670B1" w:rsidP="000670B1">
      <w:pPr>
        <w:pStyle w:val="Akapitzlist"/>
        <w:numPr>
          <w:ilvl w:val="0"/>
          <w:numId w:val="2"/>
        </w:numPr>
        <w:spacing w:after="0" w:line="276" w:lineRule="auto"/>
        <w:ind w:left="426"/>
        <w:jc w:val="both"/>
        <w:rPr>
          <w:rStyle w:val="tlid-translation"/>
          <w:rFonts w:cstheme="minorHAnsi"/>
        </w:rPr>
      </w:pPr>
      <w:r w:rsidRPr="0013389D">
        <w:rPr>
          <w:rStyle w:val="tlid-translation"/>
          <w:rFonts w:cstheme="minorHAnsi"/>
        </w:rPr>
        <w:t xml:space="preserve">Dyrektor szkoły lub placówki uzgadnia z organem prowadzącym szkołę lub placówkę odpowiednie środki techniczne i organizacyjne w celu </w:t>
      </w:r>
      <w:bookmarkEnd w:id="1"/>
      <w:r w:rsidRPr="0013389D">
        <w:rPr>
          <w:rStyle w:val="tlid-translation"/>
          <w:rFonts w:cstheme="minorHAnsi"/>
        </w:rPr>
        <w:t>ochrony przechowywanych nagrań obrazu oraz danych osobowych uczniów, pracowników i innych osób, których w wyniku tych nagrań można zidentyfikować, uzyskanych w wyniku monitoringu.</w:t>
      </w:r>
    </w:p>
    <w:p w14:paraId="37387AB0" w14:textId="77777777" w:rsidR="000670B1" w:rsidRPr="0013389D" w:rsidRDefault="000670B1" w:rsidP="000670B1">
      <w:pPr>
        <w:pStyle w:val="Akapitzlist"/>
        <w:spacing w:after="0" w:line="276" w:lineRule="auto"/>
        <w:ind w:left="0"/>
        <w:jc w:val="both"/>
        <w:rPr>
          <w:rStyle w:val="tlid-translation"/>
          <w:rFonts w:cstheme="minorHAnsi"/>
        </w:rPr>
      </w:pPr>
    </w:p>
    <w:p w14:paraId="0CC794EC" w14:textId="77777777" w:rsidR="000670B1" w:rsidRPr="0013389D" w:rsidRDefault="000670B1" w:rsidP="000670B1">
      <w:pPr>
        <w:pStyle w:val="Akapitzlist"/>
        <w:spacing w:after="0" w:line="276" w:lineRule="auto"/>
        <w:ind w:left="0"/>
        <w:jc w:val="both"/>
        <w:rPr>
          <w:rStyle w:val="tlid-translation"/>
          <w:rFonts w:cstheme="minorHAnsi"/>
        </w:rPr>
      </w:pPr>
    </w:p>
    <w:p w14:paraId="5FA8D32F"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Jaki interes publiczny lub element władztwa publicznego będzie realizowany/wspierany przez to przetwarzanie?</w:t>
      </w:r>
    </w:p>
    <w:p w14:paraId="6ABAADC7" w14:textId="77777777" w:rsidR="000670B1" w:rsidRPr="0013389D" w:rsidRDefault="000670B1" w:rsidP="000670B1">
      <w:pPr>
        <w:pStyle w:val="Akapitzlist"/>
        <w:spacing w:after="0" w:line="276" w:lineRule="auto"/>
        <w:ind w:left="0"/>
        <w:jc w:val="both"/>
        <w:rPr>
          <w:rStyle w:val="tlid-translation"/>
          <w:rFonts w:cstheme="minorHAnsi"/>
        </w:rPr>
      </w:pPr>
    </w:p>
    <w:p w14:paraId="16A9A73A"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Bezpieczeństwo przedszkola, ale przede wszystkim uczących się w placówce dzieci, jest w tym przypadku w interesie publicznym. Obecność monitoringu wizyjnego pełni realnie funkcję prewencyjną – osoby, które mogłyby chcieć porwać dziecko lub je skrzywdzić korzystając z jego obecności na terenie przedszkola, w większości wypadków zrezygnują z tego zamiaru, kiedy dostrzegą obecność monitoringu. Ten rodzaj zabezpieczenia, który zapewnia nagranie wizerunku sprawcy ewentualnego wykroczenia lub przestępstwa, które stanowi jednoznaczny dowód winy, pełni wystarczającą funkcję odstraszającą. Jednocześnie bezpieczeństwo dzieci na terenie przedszkola jest jednym z najważniejszych zadań jednostki. </w:t>
      </w:r>
    </w:p>
    <w:p w14:paraId="0581202F" w14:textId="77777777" w:rsidR="000670B1" w:rsidRPr="0013389D" w:rsidRDefault="000670B1" w:rsidP="000670B1">
      <w:pPr>
        <w:pStyle w:val="Akapitzlist"/>
        <w:spacing w:after="0" w:line="276" w:lineRule="auto"/>
        <w:ind w:left="0"/>
        <w:jc w:val="both"/>
        <w:rPr>
          <w:rStyle w:val="tlid-translation"/>
          <w:rFonts w:cstheme="minorHAnsi"/>
        </w:rPr>
      </w:pPr>
    </w:p>
    <w:p w14:paraId="45BC62D2"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Czy przetwarzanie jest niezbędne, aby osiągnąć jeden lub więcej konkretnych celów operacji przetwarzania?</w:t>
      </w:r>
    </w:p>
    <w:p w14:paraId="6727F185" w14:textId="77777777" w:rsidR="000670B1" w:rsidRPr="0013389D" w:rsidRDefault="000670B1" w:rsidP="000670B1">
      <w:pPr>
        <w:pStyle w:val="Akapitzlist"/>
        <w:spacing w:after="0" w:line="276" w:lineRule="auto"/>
        <w:ind w:left="0"/>
        <w:jc w:val="both"/>
        <w:rPr>
          <w:rStyle w:val="tlid-translation"/>
          <w:rFonts w:cstheme="minorHAnsi"/>
          <w:b/>
        </w:rPr>
      </w:pPr>
    </w:p>
    <w:p w14:paraId="0269765A"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Zapewnienie bezpieczeństwa dzieciom na terenie przedszkola można zapewnić na wiele różnych sposobów. Tym podstawowym jest uważny nadzór nauczycieli, wychowawców nad dziećmi w grupie. Jednocześnie człowiek bywa omylny, może być zmęczony i wsparcie ze strony systemów wizyjnych będzie stanowić właściwe uzupełnienie tej podstawowej metody zapewnienia bezpieczeństwa. Nadto system monitoringu działa również po godzinach pracy, co pozwala na zabezpieczenie dostępu do przedszkola, zabezpieczenie majątku również w okresie, gdy na miejscu nie ma żadnego pracownika. </w:t>
      </w:r>
    </w:p>
    <w:p w14:paraId="22EE17EA" w14:textId="77777777" w:rsidR="000670B1" w:rsidRPr="0013389D" w:rsidRDefault="000670B1" w:rsidP="000670B1">
      <w:pPr>
        <w:pStyle w:val="Akapitzlist"/>
        <w:spacing w:after="0" w:line="276" w:lineRule="auto"/>
        <w:ind w:left="0"/>
        <w:jc w:val="both"/>
        <w:rPr>
          <w:rStyle w:val="tlid-translation"/>
          <w:rFonts w:cstheme="minorHAnsi"/>
          <w:b/>
        </w:rPr>
      </w:pPr>
    </w:p>
    <w:p w14:paraId="23182ED9"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Czy przyjęty sposób realizacji celu nie jest nadmierny?</w:t>
      </w:r>
    </w:p>
    <w:p w14:paraId="71CA0635" w14:textId="77777777" w:rsidR="000670B1" w:rsidRPr="0013389D" w:rsidRDefault="000670B1" w:rsidP="000670B1">
      <w:pPr>
        <w:pStyle w:val="Akapitzlist"/>
        <w:spacing w:after="0" w:line="276" w:lineRule="auto"/>
        <w:ind w:left="0"/>
        <w:jc w:val="both"/>
        <w:rPr>
          <w:rStyle w:val="tlid-translation"/>
          <w:rFonts w:cstheme="minorHAnsi"/>
          <w:b/>
        </w:rPr>
      </w:pPr>
    </w:p>
    <w:p w14:paraId="6E5D151D"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Przedszkole nie posiada informacji, aby przyjęty sposób realizacji celu był uznawany przez pracowników lub rodziców dzieci za intruzywny, niewygodny, nieprzyjemny, niepotrzebny. Systemy monitoringu obecnie są społecznie akceptowane, a nawet oczekiwane, z uwagi na funkcję bezpieczeństwa, które zapewniają. </w:t>
      </w:r>
    </w:p>
    <w:p w14:paraId="03FFEF1A" w14:textId="77777777" w:rsidR="000670B1" w:rsidRPr="0013389D" w:rsidRDefault="000670B1" w:rsidP="000670B1">
      <w:pPr>
        <w:pStyle w:val="Akapitzlist"/>
        <w:spacing w:after="0" w:line="276" w:lineRule="auto"/>
        <w:ind w:left="0"/>
        <w:jc w:val="both"/>
        <w:rPr>
          <w:rStyle w:val="tlid-translation"/>
          <w:rFonts w:cstheme="minorHAnsi"/>
        </w:rPr>
      </w:pPr>
    </w:p>
    <w:p w14:paraId="0C846BC6"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Jednocześnie kamery monitoringu wizyjnego nie obejmują pomieszczeń intymnych (np. toalety), czy też pomieszczeń socjalnych.</w:t>
      </w:r>
    </w:p>
    <w:p w14:paraId="4F274EAA" w14:textId="77777777" w:rsidR="000670B1" w:rsidRPr="0013389D" w:rsidRDefault="000670B1" w:rsidP="000670B1">
      <w:pPr>
        <w:pStyle w:val="Akapitzlist"/>
        <w:spacing w:after="0" w:line="276" w:lineRule="auto"/>
        <w:ind w:left="0"/>
        <w:jc w:val="both"/>
        <w:rPr>
          <w:rStyle w:val="tlid-translation"/>
          <w:rFonts w:cstheme="minorHAnsi"/>
          <w:b/>
        </w:rPr>
      </w:pPr>
    </w:p>
    <w:p w14:paraId="3201B164"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Czy prawa i wolności osób, których dane dotyczą są wystarczająco chronione?</w:t>
      </w:r>
    </w:p>
    <w:p w14:paraId="05FF16CF" w14:textId="77777777" w:rsidR="000670B1" w:rsidRPr="0013389D" w:rsidRDefault="000670B1" w:rsidP="000670B1">
      <w:pPr>
        <w:pStyle w:val="Akapitzlist"/>
        <w:spacing w:after="0" w:line="276" w:lineRule="auto"/>
        <w:ind w:left="0"/>
        <w:jc w:val="both"/>
        <w:rPr>
          <w:rStyle w:val="tlid-translation"/>
          <w:rFonts w:cstheme="minorHAnsi"/>
          <w:b/>
        </w:rPr>
      </w:pPr>
    </w:p>
    <w:p w14:paraId="261AAFA2"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Nagrania z systemu monitoringu są wykorzystywane z zasady w przypadku wystąpienia naruszeń. Nagrania te nie służą do rozliczania pracowników lub rodziców z ich codziennych zachowań lub </w:t>
      </w:r>
      <w:r w:rsidRPr="0013389D">
        <w:rPr>
          <w:rStyle w:val="tlid-translation"/>
          <w:rFonts w:cstheme="minorHAnsi"/>
        </w:rPr>
        <w:lastRenderedPageBreak/>
        <w:t xml:space="preserve">sposobu wykonywania pracy. Dodatkowo do nagrań z monitoringu ma dostęp ograniczony katalog osób w jednostce. </w:t>
      </w:r>
    </w:p>
    <w:p w14:paraId="68D0A8AD" w14:textId="77777777" w:rsidR="000670B1" w:rsidRPr="0013389D" w:rsidRDefault="000670B1" w:rsidP="000670B1">
      <w:pPr>
        <w:pStyle w:val="Akapitzlist"/>
        <w:spacing w:after="0" w:line="276" w:lineRule="auto"/>
        <w:ind w:left="0"/>
        <w:jc w:val="both"/>
        <w:rPr>
          <w:rStyle w:val="tlid-translation"/>
          <w:rFonts w:cstheme="minorHAnsi"/>
        </w:rPr>
      </w:pPr>
    </w:p>
    <w:p w14:paraId="27E3D1FC"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Tego rodzaju praktyka wydaje się stanowić odpowiednie zabezpieczenie interesów praw i wolności osób fizycznych.</w:t>
      </w:r>
    </w:p>
    <w:p w14:paraId="69FB81EB" w14:textId="77777777" w:rsidR="000670B1" w:rsidRPr="0013389D" w:rsidRDefault="000670B1" w:rsidP="000670B1">
      <w:pPr>
        <w:pStyle w:val="Akapitzlist"/>
        <w:spacing w:after="0" w:line="276" w:lineRule="auto"/>
        <w:ind w:left="0"/>
        <w:jc w:val="both"/>
        <w:rPr>
          <w:rStyle w:val="tlid-translation"/>
          <w:rFonts w:cstheme="minorHAnsi"/>
          <w:b/>
        </w:rPr>
      </w:pPr>
    </w:p>
    <w:p w14:paraId="70B3F83F"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 xml:space="preserve">Czy osoby, których dane dotyczą spodziewają się przetwarzania ich danych w omawianym zakresie? </w:t>
      </w:r>
    </w:p>
    <w:p w14:paraId="43478DF6" w14:textId="77777777" w:rsidR="000670B1" w:rsidRPr="0013389D" w:rsidRDefault="000670B1" w:rsidP="000670B1">
      <w:pPr>
        <w:pStyle w:val="Akapitzlist"/>
        <w:spacing w:after="0" w:line="276" w:lineRule="auto"/>
        <w:ind w:left="0"/>
        <w:jc w:val="both"/>
        <w:rPr>
          <w:rStyle w:val="tlid-translation"/>
          <w:rFonts w:cstheme="minorHAnsi"/>
        </w:rPr>
      </w:pPr>
    </w:p>
    <w:p w14:paraId="2B1DE09F"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Przy wejściu do przedszkola pojawia się informacja w formie znaku graficznego o monitoringu wizyjnym na terenie jednostki. Nadto na tablicy informacyjnej wewnątrz jednostki pojawia się informacja o zasadach przetwarzania danych związanych z monitoringiem. W ten sposób realizowana jest podstawowa zasada ochrony danych osobowych – zasada transparentności. Dzięki temu poszczególne osoby mają wiedzę i świadomość monitorowania obiektu przedszkola.</w:t>
      </w:r>
    </w:p>
    <w:p w14:paraId="343F0DD4" w14:textId="77777777" w:rsidR="000670B1" w:rsidRPr="0013389D" w:rsidRDefault="000670B1" w:rsidP="000670B1">
      <w:pPr>
        <w:pStyle w:val="Akapitzlist"/>
        <w:spacing w:after="0" w:line="276" w:lineRule="auto"/>
        <w:ind w:left="0"/>
        <w:jc w:val="both"/>
        <w:rPr>
          <w:rStyle w:val="tlid-translation"/>
          <w:rFonts w:cstheme="minorHAnsi"/>
        </w:rPr>
      </w:pPr>
    </w:p>
    <w:p w14:paraId="72023E3A"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Czy osoby, których dane dotyczą mogą sprzeciwić się takiemu przetwarzaniu ich danych osobowych?</w:t>
      </w:r>
    </w:p>
    <w:p w14:paraId="5B1A2A75" w14:textId="77777777" w:rsidR="000670B1" w:rsidRPr="0013389D" w:rsidRDefault="000670B1" w:rsidP="000670B1">
      <w:pPr>
        <w:pStyle w:val="Akapitzlist"/>
        <w:spacing w:after="0" w:line="276" w:lineRule="auto"/>
        <w:ind w:left="0"/>
        <w:jc w:val="both"/>
        <w:rPr>
          <w:rStyle w:val="tlid-translation"/>
          <w:rFonts w:cstheme="minorHAnsi"/>
        </w:rPr>
      </w:pPr>
    </w:p>
    <w:p w14:paraId="15DBC038"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Realnie nie. Przeczyłoby to idei monitoringu wizyjnego, gdyby osoba uwieczniona w ramach danego zdarzenia mogła skutecznie zażądać usunięcia nagrania. </w:t>
      </w:r>
    </w:p>
    <w:p w14:paraId="2A69E588" w14:textId="77777777" w:rsidR="000670B1" w:rsidRPr="0013389D" w:rsidRDefault="000670B1" w:rsidP="000670B1">
      <w:pPr>
        <w:pStyle w:val="Akapitzlist"/>
        <w:spacing w:after="0" w:line="276" w:lineRule="auto"/>
        <w:ind w:left="0"/>
        <w:jc w:val="both"/>
        <w:rPr>
          <w:rStyle w:val="tlid-translation"/>
          <w:rFonts w:cstheme="minorHAnsi"/>
        </w:rPr>
      </w:pPr>
    </w:p>
    <w:p w14:paraId="3B976D4B"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 xml:space="preserve">Jaki jest charakter przetwarzanych danych? Czy dane tego rodzaju podlegają specjalnej ochronie na gruncie RODO? </w:t>
      </w:r>
    </w:p>
    <w:p w14:paraId="3B48BCC0" w14:textId="77777777" w:rsidR="000670B1" w:rsidRPr="0013389D" w:rsidRDefault="000670B1" w:rsidP="000670B1">
      <w:pPr>
        <w:pStyle w:val="Akapitzlist"/>
        <w:spacing w:after="0" w:line="276" w:lineRule="auto"/>
        <w:ind w:left="0"/>
        <w:jc w:val="both"/>
        <w:rPr>
          <w:rStyle w:val="tlid-translation"/>
          <w:rFonts w:cstheme="minorHAnsi"/>
        </w:rPr>
      </w:pPr>
    </w:p>
    <w:p w14:paraId="707DD7CE"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Przetwarzany jest wizerunek i zachowań. Nie są to dane podlegające szczególnej ochronie. </w:t>
      </w:r>
    </w:p>
    <w:p w14:paraId="26CCF3AC" w14:textId="77777777" w:rsidR="000670B1" w:rsidRPr="0013389D" w:rsidRDefault="000670B1" w:rsidP="000670B1">
      <w:pPr>
        <w:pStyle w:val="Akapitzlist"/>
        <w:spacing w:after="0" w:line="276" w:lineRule="auto"/>
        <w:ind w:left="0"/>
        <w:jc w:val="both"/>
        <w:rPr>
          <w:rStyle w:val="tlid-translation"/>
          <w:rFonts w:cstheme="minorHAnsi"/>
        </w:rPr>
      </w:pPr>
    </w:p>
    <w:p w14:paraId="1FACCE73"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 xml:space="preserve">Jakie zabezpieczenia zastosowano? </w:t>
      </w:r>
    </w:p>
    <w:p w14:paraId="4378D7C3" w14:textId="77777777" w:rsidR="000670B1" w:rsidRPr="0013389D" w:rsidRDefault="000670B1" w:rsidP="000670B1">
      <w:pPr>
        <w:pStyle w:val="Akapitzlist"/>
        <w:spacing w:after="0" w:line="276" w:lineRule="auto"/>
        <w:ind w:left="0"/>
        <w:jc w:val="both"/>
        <w:rPr>
          <w:rStyle w:val="tlid-translation"/>
          <w:rFonts w:cstheme="minorHAnsi"/>
        </w:rPr>
      </w:pPr>
    </w:p>
    <w:p w14:paraId="0DFA2058" w14:textId="77777777" w:rsidR="000670B1" w:rsidRPr="0013389D" w:rsidRDefault="000670B1" w:rsidP="000670B1">
      <w:pPr>
        <w:pStyle w:val="Akapitzlist"/>
        <w:spacing w:after="0" w:line="276" w:lineRule="auto"/>
        <w:ind w:left="0"/>
        <w:jc w:val="both"/>
        <w:rPr>
          <w:rStyle w:val="tlid-translation"/>
          <w:rFonts w:cstheme="minorHAnsi"/>
        </w:rPr>
      </w:pPr>
      <w:r w:rsidRPr="0013389D">
        <w:rPr>
          <w:rStyle w:val="tlid-translation"/>
          <w:rFonts w:cstheme="minorHAnsi"/>
        </w:rPr>
        <w:t xml:space="preserve">Dostęp do nagrań z monitoringu wymaga fizycznego dostępu do urządzenia odczytującego nagrania oraz wymaga podania danych dostępowych. </w:t>
      </w:r>
    </w:p>
    <w:p w14:paraId="4FB794E7" w14:textId="77777777" w:rsidR="000670B1" w:rsidRPr="0013389D" w:rsidRDefault="000670B1" w:rsidP="000670B1">
      <w:pPr>
        <w:pStyle w:val="Akapitzlist"/>
        <w:spacing w:after="0" w:line="276" w:lineRule="auto"/>
        <w:ind w:left="0"/>
        <w:jc w:val="both"/>
        <w:rPr>
          <w:rStyle w:val="tlid-translation"/>
          <w:rFonts w:cstheme="minorHAnsi"/>
        </w:rPr>
      </w:pPr>
    </w:p>
    <w:p w14:paraId="50D83FF4" w14:textId="77777777" w:rsidR="000670B1" w:rsidRPr="0013389D" w:rsidRDefault="000670B1" w:rsidP="000670B1">
      <w:pPr>
        <w:pStyle w:val="Akapitzlist"/>
        <w:spacing w:after="0" w:line="276" w:lineRule="auto"/>
        <w:ind w:left="0"/>
        <w:jc w:val="both"/>
        <w:rPr>
          <w:rStyle w:val="tlid-translation"/>
          <w:rFonts w:cstheme="minorHAnsi"/>
          <w:b/>
        </w:rPr>
      </w:pPr>
      <w:r w:rsidRPr="0013389D">
        <w:rPr>
          <w:rStyle w:val="tlid-translation"/>
          <w:rFonts w:cstheme="minorHAnsi"/>
          <w:b/>
        </w:rPr>
        <w:t>Wynik analizy</w:t>
      </w:r>
    </w:p>
    <w:p w14:paraId="131A4BE9" w14:textId="77777777" w:rsidR="000670B1" w:rsidRPr="0013389D" w:rsidRDefault="000670B1" w:rsidP="000670B1">
      <w:pPr>
        <w:rPr>
          <w:rFonts w:cstheme="minorHAnsi"/>
          <w:b/>
        </w:rPr>
      </w:pPr>
      <w:r w:rsidRPr="0013389D">
        <w:rPr>
          <w:rFonts w:cstheme="minorHAnsi"/>
          <w:b/>
        </w:rPr>
        <w:tab/>
      </w:r>
    </w:p>
    <w:p w14:paraId="46378CD8" w14:textId="39AD6DCC" w:rsidR="008A23CB" w:rsidRPr="0013389D" w:rsidRDefault="000670B1" w:rsidP="00793640">
      <w:pPr>
        <w:jc w:val="both"/>
        <w:rPr>
          <w:rFonts w:cstheme="minorHAnsi"/>
        </w:rPr>
      </w:pPr>
      <w:r w:rsidRPr="0013389D">
        <w:rPr>
          <w:rFonts w:cstheme="minorHAnsi"/>
          <w:b/>
        </w:rPr>
        <w:t>Należy uznać, że monitoring wizyjny jest działaniem przedszkola nakierowanym na realizację zadania – w postaci zapewnienia bezpieczeństwa placówki i dzieci – w interesie publicznym. Sposób działania przedszkola w tym obszarze nie skutkuje naruszeniem praw i wolności osób, których dane dotyczą.</w:t>
      </w:r>
    </w:p>
    <w:sectPr w:rsidR="008A23CB" w:rsidRPr="0013389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BF82F" w14:textId="77777777" w:rsidR="00FB6044" w:rsidRDefault="00FB6044">
      <w:pPr>
        <w:spacing w:after="0" w:line="240" w:lineRule="auto"/>
      </w:pPr>
      <w:r>
        <w:separator/>
      </w:r>
    </w:p>
  </w:endnote>
  <w:endnote w:type="continuationSeparator" w:id="0">
    <w:p w14:paraId="7662CAED" w14:textId="77777777" w:rsidR="00FB6044" w:rsidRDefault="00FB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620772"/>
      <w:docPartObj>
        <w:docPartGallery w:val="Page Numbers (Bottom of Page)"/>
        <w:docPartUnique/>
      </w:docPartObj>
    </w:sdtPr>
    <w:sdtEndPr/>
    <w:sdtContent>
      <w:p w14:paraId="6E00EF7E" w14:textId="77777777" w:rsidR="008A23CB" w:rsidRDefault="00C85E89">
        <w:pPr>
          <w:pStyle w:val="Stopka"/>
          <w:jc w:val="right"/>
        </w:pPr>
        <w:r>
          <w:fldChar w:fldCharType="begin"/>
        </w:r>
        <w:r>
          <w:instrText>PAGE   \* MERGEFORMAT</w:instrText>
        </w:r>
        <w:r>
          <w:fldChar w:fldCharType="separate"/>
        </w:r>
        <w:r>
          <w:t>2</w:t>
        </w:r>
        <w:r>
          <w:fldChar w:fldCharType="end"/>
        </w:r>
      </w:p>
    </w:sdtContent>
  </w:sdt>
  <w:p w14:paraId="34F0A5B1" w14:textId="77777777" w:rsidR="008A23CB" w:rsidRDefault="008A23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66152" w14:textId="77777777" w:rsidR="00FB6044" w:rsidRDefault="00FB6044">
      <w:pPr>
        <w:spacing w:after="0" w:line="240" w:lineRule="auto"/>
      </w:pPr>
      <w:r>
        <w:separator/>
      </w:r>
    </w:p>
  </w:footnote>
  <w:footnote w:type="continuationSeparator" w:id="0">
    <w:p w14:paraId="76D84863" w14:textId="77777777" w:rsidR="00FB6044" w:rsidRDefault="00FB6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A56FB" w14:textId="3F20CC89" w:rsidR="00536182" w:rsidRDefault="00536182" w:rsidP="00536182">
    <w:pPr>
      <w:pStyle w:val="Nagwek"/>
      <w:jc w:val="right"/>
    </w:pPr>
    <w:r>
      <w:rPr>
        <w:rFonts w:ascii="Calibri" w:eastAsia="Calibri" w:hAnsi="Calibri" w:cs="Calibri"/>
        <w:sz w:val="20"/>
        <w:szCs w:val="20"/>
      </w:rPr>
      <w:t>Polityka Ochrony Danych</w:t>
    </w:r>
    <w:r w:rsidR="00914872">
      <w:rPr>
        <w:rFonts w:ascii="Calibri" w:eastAsia="Calibri" w:hAnsi="Calibri" w:cs="Calibri"/>
        <w:sz w:val="20"/>
        <w:szCs w:val="20"/>
      </w:rPr>
      <w:t xml:space="preserve"> </w:t>
    </w:r>
    <w:r>
      <w:rPr>
        <w:rFonts w:ascii="Calibri" w:eastAsia="Calibri" w:hAnsi="Calibri" w:cs="Calibri"/>
        <w:sz w:val="20"/>
        <w:szCs w:val="20"/>
      </w:rPr>
      <w:t>– Załącznik nr 5</w:t>
    </w:r>
    <w:r w:rsidR="00DE26C7">
      <w:rPr>
        <w:rFonts w:ascii="Calibri" w:eastAsia="Calibri" w:hAnsi="Calibri" w:cs="Calibri"/>
        <w:sz w:val="20"/>
        <w:szCs w:val="20"/>
      </w:rPr>
      <w:t>f</w:t>
    </w:r>
    <w:r>
      <w:rPr>
        <w:rFonts w:ascii="Calibri" w:eastAsia="Calibri" w:hAnsi="Calibri" w:cs="Calibri"/>
        <w:sz w:val="20"/>
        <w:szCs w:val="20"/>
      </w:rPr>
      <w:t xml:space="preserve"> – </w:t>
    </w:r>
    <w:r w:rsidR="00DE5EEE">
      <w:rPr>
        <w:rFonts w:ascii="Calibri" w:eastAsia="Calibri" w:hAnsi="Calibri" w:cs="Calibri"/>
        <w:sz w:val="20"/>
        <w:szCs w:val="20"/>
      </w:rPr>
      <w:t>Zespół Przedszkoli nr 1</w:t>
    </w:r>
  </w:p>
  <w:p w14:paraId="59ED7E13" w14:textId="77777777" w:rsidR="00536182" w:rsidRDefault="005361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33F0E"/>
    <w:multiLevelType w:val="hybridMultilevel"/>
    <w:tmpl w:val="0CEE8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3077369"/>
    <w:multiLevelType w:val="hybridMultilevel"/>
    <w:tmpl w:val="E822096E"/>
    <w:lvl w:ilvl="0" w:tplc="04150019">
      <w:start w:val="1"/>
      <w:numFmt w:val="lowerLetter"/>
      <w:lvlText w:val="%1."/>
      <w:lvlJc w:val="left"/>
      <w:pPr>
        <w:ind w:left="1069" w:hanging="360"/>
      </w:pPr>
      <w:rPr>
        <w:rFonts w:hint="default"/>
        <w:sz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17">
      <w:start w:val="1"/>
      <w:numFmt w:val="lowerLetter"/>
      <w:lvlText w:val="%4)"/>
      <w:lvlJc w:val="left"/>
      <w:pPr>
        <w:ind w:left="360"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17">
      <w:start w:val="1"/>
      <w:numFmt w:val="lowerLetter"/>
      <w:lvlText w:val="%7)"/>
      <w:lvlJc w:val="left"/>
      <w:pPr>
        <w:ind w:left="360"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num w:numId="1" w16cid:durableId="1443921229">
    <w:abstractNumId w:val="1"/>
  </w:num>
  <w:num w:numId="2" w16cid:durableId="115607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E5"/>
    <w:rsid w:val="000670B1"/>
    <w:rsid w:val="0013389D"/>
    <w:rsid w:val="002247E5"/>
    <w:rsid w:val="002343C8"/>
    <w:rsid w:val="00496D08"/>
    <w:rsid w:val="004C5D5C"/>
    <w:rsid w:val="00536182"/>
    <w:rsid w:val="00793640"/>
    <w:rsid w:val="00800843"/>
    <w:rsid w:val="008A23CB"/>
    <w:rsid w:val="00914872"/>
    <w:rsid w:val="00934A4E"/>
    <w:rsid w:val="009F37DB"/>
    <w:rsid w:val="00BD6192"/>
    <w:rsid w:val="00C85E89"/>
    <w:rsid w:val="00DE26C7"/>
    <w:rsid w:val="00DE5EEE"/>
    <w:rsid w:val="00EE5FD2"/>
    <w:rsid w:val="00FB6044"/>
    <w:rsid w:val="00FE20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874D"/>
  <w15:chartTrackingRefBased/>
  <w15:docId w15:val="{0DD6CDC4-BEAE-4D1C-BF61-D8FACFAD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0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70B1"/>
    <w:pPr>
      <w:ind w:left="720"/>
      <w:contextualSpacing/>
    </w:pPr>
  </w:style>
  <w:style w:type="character" w:customStyle="1" w:styleId="tlid-translation">
    <w:name w:val="tlid-translation"/>
    <w:basedOn w:val="Domylnaczcionkaakapitu"/>
    <w:rsid w:val="000670B1"/>
  </w:style>
  <w:style w:type="paragraph" w:styleId="Stopka">
    <w:name w:val="footer"/>
    <w:basedOn w:val="Normalny"/>
    <w:link w:val="StopkaZnak"/>
    <w:uiPriority w:val="99"/>
    <w:unhideWhenUsed/>
    <w:rsid w:val="000670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70B1"/>
  </w:style>
  <w:style w:type="paragraph" w:styleId="Nagwek">
    <w:name w:val="header"/>
    <w:basedOn w:val="Normalny"/>
    <w:link w:val="NagwekZnak"/>
    <w:uiPriority w:val="99"/>
    <w:unhideWhenUsed/>
    <w:rsid w:val="005361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5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3FEA2-EBA2-4D7E-9946-F76F592D61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8D13E-5DFB-46AB-947F-7FE417D6D32D}"/>
</file>

<file path=customXml/itemProps3.xml><?xml version="1.0" encoding="utf-8"?>
<ds:datastoreItem xmlns:ds="http://schemas.openxmlformats.org/officeDocument/2006/customXml" ds:itemID="{8CF4857C-6D52-49FA-973C-53DCC5650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1019</Words>
  <Characters>6119</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Emilia Martynowicz-Mamajek, Prawnik</cp:lastModifiedBy>
  <cp:revision>16</cp:revision>
  <cp:lastPrinted>2024-04-17T15:00:00Z</cp:lastPrinted>
  <dcterms:created xsi:type="dcterms:W3CDTF">2018-09-22T22:03:00Z</dcterms:created>
  <dcterms:modified xsi:type="dcterms:W3CDTF">2024-04-29T06:54:00Z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